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89" w:rsidRPr="0086067E" w:rsidRDefault="00067289" w:rsidP="00067289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-367030</wp:posOffset>
            </wp:positionV>
            <wp:extent cx="1201420" cy="1201420"/>
            <wp:effectExtent l="0" t="0" r="0" b="0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1" name="Imagen 1" descr="logo 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</w:pPr>
    </w:p>
    <w:p w:rsidR="00067289" w:rsidRPr="0086067E" w:rsidRDefault="00067289" w:rsidP="00067289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Arial Narrow" w:hAnsi="Arial Narrow"/>
          <w:sz w:val="24"/>
        </w:rPr>
      </w:pPr>
    </w:p>
    <w:p w:rsidR="00067289" w:rsidRPr="0086067E" w:rsidRDefault="00067289" w:rsidP="00067289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Arial Narrow" w:hAnsi="Arial Narrow"/>
          <w:sz w:val="24"/>
        </w:rPr>
      </w:pPr>
    </w:p>
    <w:p w:rsidR="00067289" w:rsidRPr="0086067E" w:rsidRDefault="00067289" w:rsidP="00067289">
      <w:pPr>
        <w:pStyle w:val="Ttul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Arial Narrow" w:hAnsi="Arial Narrow"/>
          <w:sz w:val="24"/>
        </w:rPr>
      </w:pPr>
      <w:r w:rsidRPr="0086067E">
        <w:rPr>
          <w:rFonts w:ascii="Arial Narrow" w:hAnsi="Arial Narrow"/>
          <w:sz w:val="24"/>
        </w:rPr>
        <w:t>Pontificia Universidad Católica de Chile</w:t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Arial Narrow" w:hAnsi="Arial Narrow"/>
        </w:rPr>
      </w:pPr>
      <w:r w:rsidRPr="0086067E">
        <w:rPr>
          <w:rFonts w:ascii="Arial Narrow" w:hAnsi="Arial Narrow"/>
        </w:rPr>
        <w:t>Facultad de Educación</w:t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86067E">
        <w:rPr>
          <w:rFonts w:ascii="Arial Narrow" w:hAnsi="Arial Narrow"/>
          <w:b/>
          <w:sz w:val="24"/>
        </w:rPr>
        <w:t xml:space="preserve">PAUTA GENERAL </w:t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86067E">
        <w:rPr>
          <w:rFonts w:ascii="Arial Narrow" w:hAnsi="Arial Narrow"/>
          <w:b/>
          <w:sz w:val="24"/>
        </w:rPr>
        <w:t>PRÁCTICA IV: INTERNADO PEDAGÓGICO</w:t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 Narrow" w:hAnsi="Arial Narrow"/>
        </w:rPr>
      </w:pPr>
      <w:r w:rsidRPr="0086067E">
        <w:rPr>
          <w:rFonts w:ascii="Arial Narrow" w:hAnsi="Arial Narrow"/>
          <w:b/>
        </w:rPr>
        <w:t>Estudiante</w:t>
      </w:r>
      <w:r>
        <w:rPr>
          <w:rFonts w:ascii="Arial Narrow" w:hAnsi="Arial Narrow"/>
        </w:rPr>
        <w:t>:   Ximena Sepúlveda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Centro: </w:t>
      </w:r>
      <w:r w:rsidRPr="00125809">
        <w:rPr>
          <w:rFonts w:ascii="Arial Narrow" w:hAnsi="Arial Narrow"/>
        </w:rPr>
        <w:t>Al</w:t>
      </w:r>
      <w:r>
        <w:rPr>
          <w:rFonts w:ascii="Arial Narrow" w:hAnsi="Arial Narrow"/>
        </w:rPr>
        <w:t xml:space="preserve">berto </w:t>
      </w:r>
      <w:proofErr w:type="spellStart"/>
      <w:r>
        <w:rPr>
          <w:rFonts w:ascii="Arial Narrow" w:hAnsi="Arial Narrow"/>
        </w:rPr>
        <w:t>Blest</w:t>
      </w:r>
      <w:proofErr w:type="spellEnd"/>
      <w:r>
        <w:rPr>
          <w:rFonts w:ascii="Arial Narrow" w:hAnsi="Arial Narrow"/>
        </w:rPr>
        <w:t xml:space="preserve"> Gana</w:t>
      </w:r>
      <w:r w:rsidRPr="00125809">
        <w:rPr>
          <w:rFonts w:ascii="Arial Narrow" w:hAnsi="Arial Narrow"/>
        </w:rPr>
        <w:tab/>
      </w:r>
      <w:r w:rsidRPr="0086067E">
        <w:rPr>
          <w:rFonts w:ascii="Arial Narrow" w:hAnsi="Arial Narrow"/>
          <w:b/>
        </w:rPr>
        <w:t>Nivel:</w:t>
      </w:r>
      <w:r>
        <w:rPr>
          <w:rFonts w:ascii="Arial Narrow" w:hAnsi="Arial Narrow"/>
          <w:b/>
        </w:rPr>
        <w:t xml:space="preserve"> </w:t>
      </w:r>
      <w:proofErr w:type="spellStart"/>
      <w:r>
        <w:rPr>
          <w:rFonts w:ascii="Arial Narrow" w:hAnsi="Arial Narrow"/>
        </w:rPr>
        <w:t>Kinder</w:t>
      </w:r>
      <w:proofErr w:type="spellEnd"/>
      <w:r>
        <w:rPr>
          <w:rFonts w:ascii="Arial Narrow" w:hAnsi="Arial Narrow"/>
        </w:rPr>
        <w:t xml:space="preserve"> B</w:t>
      </w:r>
      <w:r w:rsidRPr="00125809">
        <w:rPr>
          <w:rFonts w:ascii="Arial Narrow" w:hAnsi="Arial Narrow"/>
        </w:rPr>
        <w:tab/>
      </w:r>
      <w:r w:rsidRPr="0086067E">
        <w:rPr>
          <w:rFonts w:ascii="Arial Narrow" w:hAnsi="Arial Narrow"/>
          <w:b/>
        </w:rPr>
        <w:t>Fecha</w:t>
      </w:r>
      <w:proofErr w:type="gramStart"/>
      <w:r w:rsidRPr="0086067E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24</w:t>
      </w:r>
      <w:proofErr w:type="gramEnd"/>
      <w:r>
        <w:rPr>
          <w:rFonts w:ascii="Arial Narrow" w:hAnsi="Arial Narrow"/>
        </w:rPr>
        <w:t xml:space="preserve"> de Abril</w:t>
      </w:r>
    </w:p>
    <w:p w:rsidR="00067289" w:rsidRPr="0086067E" w:rsidRDefault="00067289" w:rsidP="000672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Arial Narrow" w:hAnsi="Arial Narrow"/>
          <w:b/>
        </w:rPr>
      </w:pPr>
    </w:p>
    <w:p w:rsidR="00067289" w:rsidRDefault="00067289" w:rsidP="00067289">
      <w:pPr>
        <w:pStyle w:val="Cuadrculamediana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 w:rsidRPr="0086067E">
        <w:rPr>
          <w:rFonts w:ascii="Arial Narrow" w:hAnsi="Arial Narrow"/>
        </w:rPr>
        <w:t>N/O-N/A No observado/No aplica; 1 Insuficiente; 2 Básico; 3 Esperado; 4 Excelente</w:t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7"/>
        <w:gridCol w:w="285"/>
        <w:gridCol w:w="289"/>
        <w:gridCol w:w="286"/>
        <w:gridCol w:w="283"/>
        <w:gridCol w:w="570"/>
      </w:tblGrid>
      <w:tr w:rsidR="00067289" w:rsidRPr="00A23A36" w:rsidTr="005547AA">
        <w:trPr>
          <w:cantSplit/>
          <w:trHeight w:val="137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 xml:space="preserve">  Promueve procesos de pensamiento y aprendizaje.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N/O</w:t>
            </w: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N/A</w:t>
            </w: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Ofrece e invita a los niños y niñas a explorar, manipular y a descubrir por sí mismos</w:t>
            </w:r>
            <w:r w:rsidRPr="00A23A36">
              <w:rPr>
                <w:rFonts w:ascii="Arial Narrow" w:eastAsia="ヒラギノ角ゴ Pro W3" w:hAnsi="Arial Narrow" w:cs="Times New Roman"/>
                <w:color w:val="FB0007"/>
                <w:lang w:val="es-ES_tradnl"/>
              </w:rPr>
              <w:t>,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 promoviendo que verbalicen lo que están haciendo/viviendo.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Acoge las respuestas dadas por los niños y niñas, y las utiliza para desafiarlos en el aprendizaje, repitiendo, describiendo y/o ampliando lo que dicen.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Desafía con diversas estrategias a los niños y niñas en su más alto nivel de competencia, promoviendo desafíos adecuados que van más allá de las respuestas que ellos dan.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Realiza en su mayoría preguntas abiertas para fomentar el pensamiento de los niños y niñas (estas preguntas invitan a respuestas más elaboradas o a verbalizaciones constantes,  en vez de “sí” o “no”).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Ayuda a los niños/as a establecer conexiones con experiencias y conocimientos previos a través de preguntas, imágenes, gestos o acciones.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816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EVIDENCIAS U OBSERVACIONES</w:t>
            </w: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Default="00067289" w:rsidP="00067289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Se les presento el material para que ellos propusieran ideas de qué poder hacer con este en relación al tema, para que luego cada uno trabajara con este.</w:t>
            </w:r>
          </w:p>
          <w:p w:rsidR="00067289" w:rsidRDefault="00067289" w:rsidP="00067289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A medida que los niños y niñas iban dibujando, pintando, recortando y pegando o colgando, se les fue realizando preguntas que permitieran verbalizar sus aprendizajes y a su vez se les respondía ampliando o profundizando lo que comentaban, como por ejemplo cuando el niño 2 dice que dibujo un caballito de mar, se le pregunta ¿y cuál era el nombre científico de este animal?, a lo que </w:t>
            </w:r>
            <w:proofErr w:type="spellStart"/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el</w:t>
            </w:r>
            <w:proofErr w:type="spellEnd"/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 responde “hipocampo”, o cuando el niño 9 dice que dibujo una ostra se le pregunta ¿y a que familia pertenecía este?, a lo que responde “moluscos”</w:t>
            </w:r>
          </w:p>
          <w:p w:rsidR="00067289" w:rsidRPr="00EE7A4A" w:rsidRDefault="00067289" w:rsidP="005547AA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EE7A4A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Tanto al inicio, como en el desarrollo, se dan instancias para que los niños puedan establecer conex</w:t>
            </w:r>
            <w:r w:rsidR="00EE7A4A" w:rsidRPr="00EE7A4A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iones con conocimientos previos y</w:t>
            </w:r>
            <w:r w:rsidRPr="00EE7A4A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 con ideas que se han trabajado en los días anteriores</w:t>
            </w:r>
            <w:r w:rsidR="00EE7A4A" w:rsidRPr="00EE7A4A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.</w:t>
            </w: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</w:tbl>
    <w:p w:rsidR="00067289" w:rsidRDefault="00067289">
      <w:pPr>
        <w:rPr>
          <w:lang w:val="es-ES_tradnl"/>
        </w:rPr>
      </w:pPr>
    </w:p>
    <w:p w:rsidR="00067289" w:rsidRDefault="00067289">
      <w:pPr>
        <w:rPr>
          <w:lang w:val="es-ES_tradnl"/>
        </w:rPr>
      </w:pPr>
      <w:r>
        <w:rPr>
          <w:lang w:val="es-ES_tradnl"/>
        </w:rPr>
        <w:br w:type="page"/>
      </w: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927"/>
        <w:gridCol w:w="285"/>
        <w:gridCol w:w="289"/>
        <w:gridCol w:w="302"/>
        <w:gridCol w:w="267"/>
        <w:gridCol w:w="570"/>
      </w:tblGrid>
      <w:tr w:rsidR="00067289" w:rsidRPr="00A23A36" w:rsidTr="005547AA">
        <w:trPr>
          <w:cantSplit/>
          <w:trHeight w:val="137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lastRenderedPageBreak/>
              <w:t xml:space="preserve">  Intervenciones didácticas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4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2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N/O</w:t>
            </w: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n-US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N/A</w:t>
            </w: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Organiza a los niños y niñas para el aprendizaje, invitándolas a organizarse de acuerdo a la experiencia, estableciendo normas comprensibles y rutinas en conjunto.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Entrega instrucciones claras, precisas y completas para el desarrollo de la experiencia de aprendizaje, utilizando estrategias para despertar y mantener la atención de todos los niños y niñas.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La planificación y su implementación se ajusta a las necesidades de aprendizaje del grupo dando cuenta que responde a la diversidad de éste.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Cierra la experiencia realizando una síntesis, relacionando el contenido con experiencias pasadas o futuras o revisando con los niños/as lo realizado.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2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"/>
              </w:rPr>
              <w:t xml:space="preserve">Explicita verbalmente o a través de los materiales que presenta, conocimiento de los conceptos, principios y procesos del 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shd w:val="clear" w:color="auto" w:fill="FFFFFF"/>
                <w:lang w:val="es-ES"/>
              </w:rPr>
              <w:t>núcleo de aprendizaje respecto del que ofrece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lang w:val="es-ES"/>
              </w:rPr>
              <w:t xml:space="preserve"> experiencias de aprendizaje desafiantes, 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de acuerdo al contexto, a los intereses, capacidades y necesidades de los niños/as.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2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Mantiene la visión de todo el grupo interactuando oportunamente,  dando la posibilidad de que todos participen, promoviendo la interacción entre ellos y resolviendo los problemas de comportamiento e interacción que se produzcan.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1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Maneja el tiempo de la experiencia de modo que los niños/as  se mantengan involucrados y  puedan completar la tarea en forma adecuada.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2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shd w:val="clear" w:color="auto" w:fill="FFFF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color w:val="000000"/>
                <w:shd w:val="clear" w:color="auto" w:fill="FFFFFF"/>
                <w:lang w:val="es-ES_tradnl"/>
              </w:rPr>
              <w:t>Prepara el material didáctico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 con anticipación, 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shd w:val="clear" w:color="auto" w:fill="FFFFFF"/>
                <w:lang w:val="es-ES_tradnl"/>
              </w:rPr>
              <w:t>éste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 xml:space="preserve"> es suficiente para la cantidad de niños/as, apropiado para promover el aprendizaje esperado propuesto y les permite trabajar según sus </w:t>
            </w:r>
            <w:r w:rsidRPr="00A23A36">
              <w:rPr>
                <w:rFonts w:ascii="Arial Narrow" w:eastAsia="ヒラギノ角ゴ Pro W3" w:hAnsi="Arial Narrow" w:cs="Times New Roman"/>
                <w:color w:val="000000"/>
                <w:shd w:val="clear" w:color="auto" w:fill="FFFFFF"/>
                <w:lang w:val="es-ES_tradnl"/>
              </w:rPr>
              <w:t>habilidades.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299"/>
        </w:trPr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shd w:val="clear" w:color="auto" w:fill="FFFFFF"/>
                <w:lang w:val="es-ES_tradnl"/>
              </w:rPr>
            </w:pPr>
            <w:r w:rsidRPr="00A23A36">
              <w:rPr>
                <w:rFonts w:ascii="Arial Narrow" w:eastAsia="ヒラギノ角ゴ Pro W3" w:hAnsi="Arial Narrow" w:cs="Arial Narrow"/>
                <w:szCs w:val="20"/>
                <w:shd w:val="clear" w:color="auto" w:fill="FFFFFF"/>
                <w:lang w:val="es-ES_tradnl"/>
              </w:rPr>
              <w:t>Presenta dominio disciplinar de los contenidos trabajados con su grupo.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jc w:val="center"/>
              <w:rPr>
                <w:rFonts w:ascii="Arial Narrow" w:eastAsia="ヒラギノ角ゴ Pro W3" w:hAnsi="Arial Narrow" w:cs="Times New Roman"/>
                <w:lang w:val="es-ES_tradnl"/>
              </w:rPr>
            </w:pPr>
            <w:r>
              <w:rPr>
                <w:rFonts w:ascii="Arial Narrow" w:eastAsia="ヒラギノ角ゴ Pro W3" w:hAnsi="Arial Narrow" w:cs="Times New Roman"/>
                <w:lang w:val="es-ES_tradnl"/>
              </w:rPr>
              <w:t>x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lang w:val="es-ES_tradnl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lang w:val="es-ES_tradnl"/>
              </w:rPr>
            </w:pP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lang w:val="es-ES_tradnl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lang w:val="es-ES_tradnl"/>
              </w:rPr>
            </w:pPr>
          </w:p>
        </w:tc>
      </w:tr>
      <w:tr w:rsidR="00067289" w:rsidRPr="00A23A36" w:rsidTr="005547AA">
        <w:trPr>
          <w:cantSplit/>
          <w:trHeight w:val="798"/>
        </w:trPr>
        <w:tc>
          <w:tcPr>
            <w:tcW w:w="96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  <w:r w:rsidRPr="00A23A36"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  <w:t>EVIDENCIAS U OBSERVACIONES</w:t>
            </w: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b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  <w:p w:rsidR="00067289" w:rsidRPr="00A23A36" w:rsidRDefault="00067289" w:rsidP="005547AA">
            <w:pPr>
              <w:spacing w:after="0"/>
              <w:rPr>
                <w:rFonts w:ascii="Arial Narrow" w:eastAsia="ヒラギノ角ゴ Pro W3" w:hAnsi="Arial Narrow" w:cs="Times New Roman"/>
                <w:color w:val="000000"/>
                <w:lang w:val="es-ES_tradnl"/>
              </w:rPr>
            </w:pPr>
          </w:p>
        </w:tc>
      </w:tr>
    </w:tbl>
    <w:p w:rsidR="00067289" w:rsidRPr="00067289" w:rsidRDefault="00067289">
      <w:pPr>
        <w:rPr>
          <w:lang w:val="es-ES_tradnl"/>
        </w:rPr>
      </w:pPr>
    </w:p>
    <w:p w:rsidR="00067289" w:rsidRDefault="00067289">
      <w:r>
        <w:br w:type="page"/>
      </w:r>
    </w:p>
    <w:p w:rsidR="00C51D4E" w:rsidRDefault="00F07AB7"/>
    <w:sectPr w:rsidR="00C51D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7DA"/>
    <w:multiLevelType w:val="hybridMultilevel"/>
    <w:tmpl w:val="825A4EF2"/>
    <w:lvl w:ilvl="0" w:tplc="56986636">
      <w:numFmt w:val="bullet"/>
      <w:lvlText w:val="-"/>
      <w:lvlJc w:val="left"/>
      <w:pPr>
        <w:ind w:left="720" w:hanging="360"/>
      </w:pPr>
      <w:rPr>
        <w:rFonts w:ascii="Arial Narrow" w:eastAsia="ヒラギノ角ゴ Pro W3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89"/>
    <w:rsid w:val="00067289"/>
    <w:rsid w:val="0086554C"/>
    <w:rsid w:val="00EE7A4A"/>
    <w:rsid w:val="00F07AB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next w:val="Normal"/>
    <w:rsid w:val="00067289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s-ES_tradnl"/>
    </w:rPr>
  </w:style>
  <w:style w:type="paragraph" w:customStyle="1" w:styleId="Cuadrculamediana2">
    <w:name w:val="Cuadrícula mediana 2"/>
    <w:uiPriority w:val="1"/>
    <w:qFormat/>
    <w:rsid w:val="0006728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2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next w:val="Normal"/>
    <w:rsid w:val="00067289"/>
    <w:pPr>
      <w:keepNext/>
      <w:spacing w:after="0" w:line="240" w:lineRule="auto"/>
      <w:outlineLvl w:val="0"/>
    </w:pPr>
    <w:rPr>
      <w:rFonts w:ascii="Times New Roman Bold" w:eastAsia="ヒラギノ角ゴ Pro W3" w:hAnsi="Times New Roman Bold" w:cs="Times New Roman"/>
      <w:color w:val="000000"/>
      <w:sz w:val="20"/>
      <w:szCs w:val="20"/>
      <w:lang w:val="es-ES_tradnl"/>
    </w:rPr>
  </w:style>
  <w:style w:type="paragraph" w:customStyle="1" w:styleId="Cuadrculamediana2">
    <w:name w:val="Cuadrícula mediana 2"/>
    <w:uiPriority w:val="1"/>
    <w:qFormat/>
    <w:rsid w:val="00067289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067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2013-06-07T07:07:00Z</dcterms:created>
  <dcterms:modified xsi:type="dcterms:W3CDTF">2013-06-07T13:08:00Z</dcterms:modified>
</cp:coreProperties>
</file>